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5B3AB69" w14:textId="77777777" w:rsidR="00AD15D5" w:rsidRDefault="00AD15D5" w:rsidP="00AD15D5">
      <w:pPr>
        <w:pStyle w:val="Heading3"/>
      </w:pPr>
    </w:p>
    <w:p w14:paraId="4A9AFFA3" w14:textId="658FB8DC" w:rsidR="00AD15D5" w:rsidRPr="00BA6BA3" w:rsidRDefault="00AD15D5" w:rsidP="00AD15D5">
      <w:pPr>
        <w:pStyle w:val="Heading3"/>
      </w:pPr>
      <w:r>
        <w:t>APPENDIX 1</w:t>
      </w:r>
    </w:p>
    <w:p w14:paraId="00094039" w14:textId="77777777" w:rsidR="00AA1C8D" w:rsidRDefault="00AA1C8D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87"/>
      </w:tblGrid>
      <w:tr w:rsidR="00AA1C8D" w14:paraId="2E7CC563" w14:textId="77777777" w:rsidTr="00AD15D5">
        <w:tc>
          <w:tcPr>
            <w:tcW w:w="2122" w:type="dxa"/>
            <w:shd w:val="clear" w:color="auto" w:fill="00B0F0"/>
          </w:tcPr>
          <w:p w14:paraId="2DE4AAC3" w14:textId="0127C016" w:rsidR="00AA1C8D" w:rsidRPr="00AD15D5" w:rsidRDefault="00AA1C8D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shd w:val="clear" w:color="auto" w:fill="00B0F0"/>
          </w:tcPr>
          <w:p w14:paraId="3877BD74" w14:textId="34C8DD4F" w:rsidR="00AA1C8D" w:rsidRPr="00AD15D5" w:rsidRDefault="00FC35BB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shd w:val="clear" w:color="auto" w:fill="00B0F0"/>
          </w:tcPr>
          <w:p w14:paraId="64ABD0F9" w14:textId="650F5809" w:rsidR="00AA1C8D" w:rsidRPr="00AD15D5" w:rsidRDefault="00FC35BB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FC35BB" w14:paraId="27997D5C" w14:textId="77777777" w:rsidTr="00AD15D5">
        <w:tc>
          <w:tcPr>
            <w:tcW w:w="2122" w:type="dxa"/>
            <w:tcBorders>
              <w:bottom w:val="single" w:sz="4" w:space="0" w:color="auto"/>
            </w:tcBorders>
          </w:tcPr>
          <w:p w14:paraId="03AD3425" w14:textId="70ED925D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Manufacture of computer, electronic and optical products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8D6828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C</w:t>
            </w:r>
          </w:p>
          <w:p w14:paraId="29E1B128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(26.1 – 26.4)</w:t>
            </w:r>
          </w:p>
          <w:p w14:paraId="5256114A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B6265E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34EA9D18" w14:textId="5D7EA0E2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2611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C6D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electronic components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loaded electronic boards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computers and peripheral equipment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communication equipment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2640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consumer electronics </w:t>
            </w:r>
          </w:p>
        </w:tc>
      </w:tr>
      <w:tr w:rsidR="00FC35BB" w14:paraId="75CCE84C" w14:textId="77777777" w:rsidTr="00AD15D5">
        <w:tc>
          <w:tcPr>
            <w:tcW w:w="2122" w:type="dxa"/>
            <w:shd w:val="clear" w:color="auto" w:fill="C5E0B3" w:themeFill="accent6" w:themeFillTint="66"/>
          </w:tcPr>
          <w:p w14:paraId="466AEB84" w14:textId="6514E7DA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Wholesale and retail trade; repair of motor vehicles and motorcycles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AE221D8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60392CC4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(46.5.0 – 46.5.2, 47.4.0 – 47.4.3, 47.9.0 – 47.9.9)</w:t>
            </w:r>
          </w:p>
          <w:p w14:paraId="0C77381E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DA1088" w14:textId="77777777"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C5E0B3" w:themeFill="accent6" w:themeFillTint="66"/>
          </w:tcPr>
          <w:p w14:paraId="7E30E4DF" w14:textId="3D33EFBB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4651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Wholesale of computers, computer peripheral equipment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and software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4652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Wholesale of electronic and telecommunications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equipment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and parts </w:t>
            </w:r>
          </w:p>
          <w:p w14:paraId="34C94CDA" w14:textId="2A3BDD44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4741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>Retail sale of computers, peripheral units and software in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 stores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4742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>Retail sale of telecommunications equipment 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pecialised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stores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4743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Retail sale of audio and video equipment in specialised stores </w:t>
            </w:r>
          </w:p>
          <w:p w14:paraId="5EB8E242" w14:textId="5451331E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4791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Retail sale via mail order houses or via Internet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Other retail sale not in stores, stalls or markets </w:t>
            </w:r>
          </w:p>
        </w:tc>
      </w:tr>
      <w:tr w:rsidR="00FC35BB" w14:paraId="40CB8070" w14:textId="77777777" w:rsidTr="00AD15D5">
        <w:tc>
          <w:tcPr>
            <w:tcW w:w="2122" w:type="dxa"/>
            <w:tcBorders>
              <w:bottom w:val="single" w:sz="4" w:space="0" w:color="auto"/>
            </w:tcBorders>
          </w:tcPr>
          <w:p w14:paraId="50F8A225" w14:textId="6F4AFC8A" w:rsidR="00FC35BB" w:rsidRPr="00A70C9C" w:rsidRDefault="00A70C9C" w:rsidP="00A70C9C">
            <w:pPr>
              <w:pStyle w:val="BasicParagraph"/>
              <w:suppressAutoHyphens/>
              <w:rPr>
                <w:rFonts w:ascii="Calibri" w:hAnsi="Calibri" w:cs="Geogrotesque SmBd"/>
                <w:sz w:val="18"/>
                <w:szCs w:val="18"/>
              </w:rPr>
            </w:pPr>
            <w:r w:rsidRPr="00A70C9C">
              <w:rPr>
                <w:rFonts w:ascii="Calibri" w:hAnsi="Calibri" w:cs="Geogrotesque SmBd"/>
                <w:sz w:val="18"/>
                <w:szCs w:val="18"/>
              </w:rPr>
              <w:t>Air Transport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2838D" w14:textId="77777777" w:rsidR="00A70C9C" w:rsidRPr="00A70C9C" w:rsidRDefault="00A70C9C" w:rsidP="00A70C9C">
            <w:pPr>
              <w:pStyle w:val="BasicParagraph"/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70C9C">
              <w:rPr>
                <w:rFonts w:ascii="Calibri" w:hAnsi="Calibri"/>
                <w:sz w:val="18"/>
                <w:szCs w:val="18"/>
              </w:rPr>
              <w:t>H</w:t>
            </w:r>
          </w:p>
          <w:p w14:paraId="6D714D11" w14:textId="1479731E" w:rsidR="00FC35BB" w:rsidRPr="00A70C9C" w:rsidRDefault="00A70C9C" w:rsidP="00A70C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0C9C">
              <w:rPr>
                <w:rFonts w:ascii="Calibri" w:hAnsi="Calibri"/>
                <w:sz w:val="18"/>
                <w:szCs w:val="18"/>
              </w:rPr>
              <w:t>(51)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EA66709" w14:textId="1E60B033"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5110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Passenger air transport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5121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Freight air transport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5122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Space transport </w:t>
            </w:r>
          </w:p>
        </w:tc>
      </w:tr>
      <w:tr w:rsidR="00FC35BB" w14:paraId="23E08170" w14:textId="77777777" w:rsidTr="00AD15D5">
        <w:tc>
          <w:tcPr>
            <w:tcW w:w="2122" w:type="dxa"/>
            <w:shd w:val="clear" w:color="auto" w:fill="C5E0B3" w:themeFill="accent6" w:themeFillTint="66"/>
          </w:tcPr>
          <w:p w14:paraId="5A0B1D0E" w14:textId="661263D9" w:rsidR="00FC35BB" w:rsidRPr="005C6DD3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Information and communications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93BB520" w14:textId="77777777" w:rsidR="00FC35BB" w:rsidRPr="005C6DD3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77669027" w14:textId="02A087D0" w:rsidR="00FC35BB" w:rsidRPr="005C6DD3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(58 – 63)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14:paraId="3940C2FD" w14:textId="5DA4FFF2" w:rsidR="005C6DD3" w:rsidRPr="005C6DD3" w:rsidRDefault="005C6DD3" w:rsidP="005C6DD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5811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Book publishing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directories and mailing lists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5813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newspapers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5814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journals and periodicals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publishing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5821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computer games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5829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software publishing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picture, video and television programme production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>Motion picture, video and television programme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post-production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5913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picture, video and television programme distribution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5914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 projection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>Sound recording and music publishing activities</w:t>
            </w:r>
          </w:p>
          <w:p w14:paraId="34B521DA" w14:textId="510DDE74" w:rsidR="00FC35BB" w:rsidRPr="005C6DD3" w:rsidRDefault="005C6DD3" w:rsidP="005C6DD3">
            <w:pPr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6010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Radio broadcasting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6020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>Television programming and broadcasting activities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Wired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Wireless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Satellite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6190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Other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programming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consultancy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facilities management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Other information technology and computer service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Data processing, hosting and related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Web portals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6391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News agency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Other information service activities </w:t>
            </w:r>
            <w:proofErr w:type="spellStart"/>
            <w:r w:rsidRPr="005C6DD3">
              <w:rPr>
                <w:rFonts w:ascii="Calibri" w:hAnsi="Calibri" w:cs="Calibri"/>
                <w:sz w:val="18"/>
                <w:szCs w:val="18"/>
              </w:rPr>
              <w:t>n.e.c.</w:t>
            </w:r>
            <w:proofErr w:type="spellEnd"/>
          </w:p>
        </w:tc>
      </w:tr>
    </w:tbl>
    <w:p w14:paraId="6C04106F" w14:textId="30992124"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14:paraId="7D9921C4" w14:textId="76B1452D"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14:paraId="09B7BB9F" w14:textId="68A5885E"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14:paraId="42439383" w14:textId="34102284" w:rsidR="00AD15D5" w:rsidRPr="00AD15D5" w:rsidRDefault="00AD15D5" w:rsidP="00AD15D5">
      <w:pPr>
        <w:pStyle w:val="Heading3"/>
      </w:pPr>
      <w:r>
        <w:t>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87"/>
      </w:tblGrid>
      <w:tr w:rsidR="009030A1" w:rsidRPr="005C6DD3" w14:paraId="2BBFC6B5" w14:textId="77777777" w:rsidTr="009030A1">
        <w:tc>
          <w:tcPr>
            <w:tcW w:w="2122" w:type="dxa"/>
            <w:tcBorders>
              <w:bottom w:val="single" w:sz="4" w:space="0" w:color="auto"/>
            </w:tcBorders>
            <w:shd w:val="clear" w:color="auto" w:fill="00B0F0"/>
          </w:tcPr>
          <w:p w14:paraId="75D5DE4C" w14:textId="3EE05EBB" w:rsidR="009030A1" w:rsidRPr="005C6DD3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14:paraId="28BE0CE3" w14:textId="4B92EF58" w:rsidR="009030A1" w:rsidRPr="005C6DD3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00B0F0"/>
          </w:tcPr>
          <w:p w14:paraId="1E011CEF" w14:textId="5EF4D3BD" w:rsidR="009030A1" w:rsidRPr="005C6DD3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AD15D5" w:rsidRPr="005C6DD3" w14:paraId="22B9DFD2" w14:textId="77777777" w:rsidTr="00AD15D5">
        <w:tc>
          <w:tcPr>
            <w:tcW w:w="2122" w:type="dxa"/>
            <w:tcBorders>
              <w:bottom w:val="single" w:sz="4" w:space="0" w:color="auto"/>
            </w:tcBorders>
          </w:tcPr>
          <w:p w14:paraId="62AEE4C7" w14:textId="77777777" w:rsidR="00AD15D5" w:rsidRPr="005C6DD3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t>Financial and insurance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8B8154" w14:textId="77777777" w:rsidR="00AD15D5" w:rsidRPr="005C6DD3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t>K</w:t>
            </w: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(64 -66)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04ED67F5" w14:textId="77777777" w:rsidR="00AD15D5" w:rsidRPr="005C6DD3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6411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Central banking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monetary intermediation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of holding companies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Trusts, funds and similar financial entities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Financial leasing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credit granting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financial service activities, except insurance and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pension funding </w:t>
            </w:r>
            <w:proofErr w:type="spellStart"/>
            <w:r w:rsidRPr="005C6DD3">
              <w:rPr>
                <w:rFonts w:ascii="Calibri" w:hAnsi="Calibri" w:cs="Calibri"/>
                <w:sz w:val="18"/>
                <w:szCs w:val="18"/>
              </w:rPr>
              <w:t>n.e.c.</w:t>
            </w:r>
            <w:proofErr w:type="spellEnd"/>
            <w:r w:rsidRPr="005C6D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Life 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Non-life 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Reinsurance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Administration of financial markets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Security and commodity contracts brokerage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activities auxiliary to financial services, except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insurance and 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Risk and damage evaluation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of insurance agents and brokers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activities auxiliary to insurance and 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Fund management activities </w:t>
            </w:r>
          </w:p>
        </w:tc>
      </w:tr>
      <w:tr w:rsidR="00AD15D5" w:rsidRPr="00AD15D5" w14:paraId="57ECBCB4" w14:textId="77777777" w:rsidTr="00AD15D5">
        <w:tc>
          <w:tcPr>
            <w:tcW w:w="2122" w:type="dxa"/>
            <w:shd w:val="clear" w:color="auto" w:fill="C5E0B3" w:themeFill="accent6" w:themeFillTint="66"/>
          </w:tcPr>
          <w:p w14:paraId="4FCC4F82" w14:textId="77777777"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Real estate activities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C130E5B" w14:textId="77777777"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</w:p>
          <w:p w14:paraId="321ABAFC" w14:textId="77777777" w:rsidR="00AD15D5" w:rsidRPr="00AD15D5" w:rsidRDefault="00AD15D5" w:rsidP="004118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(68)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14:paraId="46842E30" w14:textId="77777777"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6810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Buying and selling of own real estate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6820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Renting and operating of own or leased real estate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6831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Real estate agencies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6832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Management of real estate on a fee or contract basis </w:t>
            </w:r>
          </w:p>
        </w:tc>
      </w:tr>
      <w:tr w:rsidR="00AD15D5" w:rsidRPr="00AD15D5" w14:paraId="4661F650" w14:textId="77777777" w:rsidTr="00AD15D5">
        <w:tc>
          <w:tcPr>
            <w:tcW w:w="2122" w:type="dxa"/>
            <w:tcBorders>
              <w:bottom w:val="single" w:sz="4" w:space="0" w:color="auto"/>
            </w:tcBorders>
          </w:tcPr>
          <w:p w14:paraId="30103A5B" w14:textId="77777777"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Professional, scientific and technical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9B7D49" w14:textId="77777777"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14:paraId="5D225D9E" w14:textId="77777777" w:rsidR="00AD15D5" w:rsidRPr="00AD15D5" w:rsidRDefault="00AD15D5" w:rsidP="004118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(73)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0A6E593C" w14:textId="77777777"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7311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Advertising agencies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7312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Media representation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7320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Market research and public opinion polling </w:t>
            </w:r>
          </w:p>
        </w:tc>
      </w:tr>
      <w:tr w:rsidR="00AD15D5" w:rsidRPr="00AD15D5" w14:paraId="4F3580BD" w14:textId="77777777" w:rsidTr="00AD15D5">
        <w:tc>
          <w:tcPr>
            <w:tcW w:w="2122" w:type="dxa"/>
            <w:shd w:val="clear" w:color="auto" w:fill="C5E0B3" w:themeFill="accent6" w:themeFillTint="66"/>
          </w:tcPr>
          <w:p w14:paraId="373338A6" w14:textId="77777777"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Public administration and defence; compulsory social security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3110D20" w14:textId="77777777"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</w:p>
          <w:p w14:paraId="00314FC8" w14:textId="77777777"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(84)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14:paraId="7ECE663F" w14:textId="77777777"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8411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General public administration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8412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Regulation of the activities of providing health care,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education, cultural services and other social services,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excluding social security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8413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Regulation of and contribution to more efficient operation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of businesses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Foreign affairs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Defence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Justice and judicial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8424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Public order and safety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8425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Fire service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8430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Compulsory social security activities </w:t>
            </w:r>
          </w:p>
        </w:tc>
      </w:tr>
    </w:tbl>
    <w:p w14:paraId="09F04C61" w14:textId="77777777"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14:paraId="5543B1A1" w14:textId="77777777" w:rsidR="009030A1" w:rsidRDefault="009030A1" w:rsidP="00AD15D5">
      <w:pPr>
        <w:pStyle w:val="Heading3"/>
      </w:pPr>
    </w:p>
    <w:p w14:paraId="726E110B" w14:textId="77777777" w:rsidR="009030A1" w:rsidRDefault="009030A1" w:rsidP="00AD15D5">
      <w:pPr>
        <w:pStyle w:val="Heading3"/>
      </w:pPr>
    </w:p>
    <w:p w14:paraId="63E0F5D8" w14:textId="77777777" w:rsidR="009030A1" w:rsidRDefault="009030A1" w:rsidP="00AD15D5">
      <w:pPr>
        <w:pStyle w:val="Heading3"/>
      </w:pPr>
    </w:p>
    <w:p w14:paraId="7FAD16F5" w14:textId="77777777" w:rsidR="009030A1" w:rsidRDefault="009030A1" w:rsidP="00AD15D5">
      <w:pPr>
        <w:pStyle w:val="Heading3"/>
      </w:pPr>
    </w:p>
    <w:p w14:paraId="240FE444" w14:textId="48444F90" w:rsidR="00AD15D5" w:rsidRPr="00AD15D5" w:rsidRDefault="00AD15D5" w:rsidP="00AD15D5">
      <w:pPr>
        <w:pStyle w:val="Heading3"/>
      </w:pPr>
      <w:r>
        <w:t>APPENDIX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87"/>
      </w:tblGrid>
      <w:tr w:rsidR="009030A1" w:rsidRPr="00AD15D5" w14:paraId="318C9D64" w14:textId="77777777" w:rsidTr="009030A1">
        <w:tc>
          <w:tcPr>
            <w:tcW w:w="2122" w:type="dxa"/>
            <w:shd w:val="clear" w:color="auto" w:fill="00B0F0"/>
          </w:tcPr>
          <w:p w14:paraId="0E4F0701" w14:textId="392C5EF1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shd w:val="clear" w:color="auto" w:fill="00B0F0"/>
          </w:tcPr>
          <w:p w14:paraId="08CC6B36" w14:textId="59C594DB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shd w:val="clear" w:color="auto" w:fill="00B0F0"/>
          </w:tcPr>
          <w:p w14:paraId="2539B2C9" w14:textId="0BEC7C97"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9030A1" w:rsidRPr="00AD15D5" w14:paraId="6AB5DCC3" w14:textId="77777777" w:rsidTr="009030A1">
        <w:tc>
          <w:tcPr>
            <w:tcW w:w="2122" w:type="dxa"/>
            <w:shd w:val="clear" w:color="auto" w:fill="auto"/>
          </w:tcPr>
          <w:p w14:paraId="099986F4" w14:textId="13DFCCE7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701" w:type="dxa"/>
            <w:shd w:val="clear" w:color="auto" w:fill="auto"/>
          </w:tcPr>
          <w:p w14:paraId="7F42B7F8" w14:textId="77777777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</w:p>
          <w:p w14:paraId="61DAE42E" w14:textId="3D98AE96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(85)</w:t>
            </w:r>
          </w:p>
        </w:tc>
        <w:tc>
          <w:tcPr>
            <w:tcW w:w="5187" w:type="dxa"/>
            <w:shd w:val="clear" w:color="auto" w:fill="auto"/>
          </w:tcPr>
          <w:p w14:paraId="257092A0" w14:textId="256E9652"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8510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Pre-primary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8520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Primary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8531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General secondary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8532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Technical and vocational secondary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8541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Post-secondary non-tertiary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8542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Tertiary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Sports and recreation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Cultural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Driving school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Other education </w:t>
            </w:r>
            <w:proofErr w:type="spellStart"/>
            <w:r w:rsidRPr="00AD15D5">
              <w:rPr>
                <w:rFonts w:ascii="Calibri" w:hAnsi="Calibri" w:cs="Calibri"/>
                <w:sz w:val="18"/>
                <w:szCs w:val="18"/>
              </w:rPr>
              <w:t>n.e.c.</w:t>
            </w:r>
            <w:proofErr w:type="spellEnd"/>
            <w:r w:rsidRPr="00AD15D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8560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Educational support activities </w:t>
            </w:r>
          </w:p>
        </w:tc>
      </w:tr>
      <w:tr w:rsidR="009030A1" w:rsidRPr="00AD15D5" w14:paraId="33945C9B" w14:textId="77777777" w:rsidTr="00AD15D5">
        <w:tc>
          <w:tcPr>
            <w:tcW w:w="2122" w:type="dxa"/>
            <w:shd w:val="clear" w:color="auto" w:fill="C5E0B3" w:themeFill="accent6" w:themeFillTint="66"/>
          </w:tcPr>
          <w:p w14:paraId="72F761F7" w14:textId="77777777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Arts, Entertainment and recreation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7763373" w14:textId="77777777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 xml:space="preserve">(91 – 92, 93.2.0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– 93.2.9)</w:t>
            </w:r>
          </w:p>
          <w:p w14:paraId="2CA079DA" w14:textId="77777777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87" w:type="dxa"/>
            <w:shd w:val="clear" w:color="auto" w:fill="C5E0B3" w:themeFill="accent6" w:themeFillTint="66"/>
          </w:tcPr>
          <w:p w14:paraId="236F6714" w14:textId="77777777"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9101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Library and archives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Museums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>Operation of historical sites and buildings and similar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visitor attractions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9104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Botanical and zoological gardens and nature reserves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AD15D5">
              <w:rPr>
                <w:rFonts w:ascii="Calibri" w:hAnsi="Calibri" w:cs="Calibri"/>
                <w:sz w:val="18"/>
                <w:szCs w:val="18"/>
              </w:rPr>
              <w:t xml:space="preserve">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9200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Gambling and betting activities </w:t>
            </w:r>
          </w:p>
          <w:p w14:paraId="03D23DAA" w14:textId="77777777"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9321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amusement parks and theme parks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9329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>Other amusement and recreation activities</w:t>
            </w:r>
          </w:p>
        </w:tc>
      </w:tr>
      <w:tr w:rsidR="009030A1" w:rsidRPr="00AD15D5" w14:paraId="24B66B20" w14:textId="77777777" w:rsidTr="00411873">
        <w:tc>
          <w:tcPr>
            <w:tcW w:w="2122" w:type="dxa"/>
          </w:tcPr>
          <w:p w14:paraId="5DB16279" w14:textId="77777777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Other activities</w:t>
            </w:r>
          </w:p>
          <w:p w14:paraId="791BB6B0" w14:textId="77777777"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3C6C02" w14:textId="77777777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</w:p>
          <w:p w14:paraId="24085C20" w14:textId="77777777"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(94)</w:t>
            </w:r>
          </w:p>
        </w:tc>
        <w:tc>
          <w:tcPr>
            <w:tcW w:w="5187" w:type="dxa"/>
          </w:tcPr>
          <w:p w14:paraId="6FC2F178" w14:textId="5D741477"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9411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business and </w:t>
            </w:r>
            <w:proofErr w:type="gramStart"/>
            <w:r w:rsidRPr="00AD15D5">
              <w:rPr>
                <w:rFonts w:ascii="Calibri" w:hAnsi="Calibri" w:cs="Calibri"/>
                <w:sz w:val="18"/>
                <w:szCs w:val="18"/>
              </w:rPr>
              <w:t>employers</w:t>
            </w:r>
            <w:proofErr w:type="gramEnd"/>
            <w:r w:rsidRPr="00AD15D5">
              <w:rPr>
                <w:rFonts w:ascii="Calibri" w:hAnsi="Calibri" w:cs="Calibri"/>
                <w:sz w:val="18"/>
                <w:szCs w:val="18"/>
              </w:rPr>
              <w:t xml:space="preserve"> membership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AD15D5">
              <w:rPr>
                <w:rFonts w:ascii="Calibri" w:hAnsi="Calibri" w:cs="Calibri"/>
                <w:sz w:val="18"/>
                <w:szCs w:val="18"/>
              </w:rPr>
              <w:t xml:space="preserve">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9412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professional membership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9420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trade unions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religious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political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other membership organisations </w:t>
            </w:r>
            <w:proofErr w:type="spellStart"/>
            <w:r w:rsidRPr="00AD15D5">
              <w:rPr>
                <w:rFonts w:ascii="Calibri" w:hAnsi="Calibri" w:cs="Calibri"/>
                <w:sz w:val="18"/>
                <w:szCs w:val="18"/>
              </w:rPr>
              <w:t>n.e.c.</w:t>
            </w:r>
            <w:proofErr w:type="spellEnd"/>
            <w:r w:rsidRPr="00AD15D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589EF52A" w14:textId="3994A23C" w:rsidR="00873621" w:rsidRPr="003C7F0F" w:rsidRDefault="00873621" w:rsidP="007723D2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sectPr w:rsidR="00873621" w:rsidRPr="003C7F0F" w:rsidSect="00CD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A488" w14:textId="77777777" w:rsidR="000D7C45" w:rsidRDefault="000D7C45" w:rsidP="00800712">
      <w:r>
        <w:separator/>
      </w:r>
    </w:p>
  </w:endnote>
  <w:endnote w:type="continuationSeparator" w:id="0">
    <w:p w14:paraId="7F1EE9D8" w14:textId="77777777" w:rsidR="000D7C45" w:rsidRDefault="000D7C45" w:rsidP="0080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Bold"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Geogrotesque SemiBold Italic">
    <w:altName w:val="Times New Roman"/>
    <w:panose1 w:val="00000000000000000000"/>
    <w:charset w:val="4D"/>
    <w:family w:val="auto"/>
    <w:notTrueType/>
    <w:pitch w:val="variable"/>
    <w:sig w:usb0="00000001" w:usb1="4000204A" w:usb2="00000000" w:usb3="00000000" w:csb0="00000193" w:csb1="00000000"/>
  </w:font>
  <w:font w:name="Geogrotesque Regular">
    <w:altName w:val="Calibri"/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grotesque-Medium">
    <w:altName w:val="Calibri"/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Geogrotesque SmBd"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0007" w14:textId="77777777" w:rsidR="00AA1C8D" w:rsidRDefault="00AA1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8BDE" w14:textId="77777777" w:rsidR="00AA1C8D" w:rsidRDefault="00AA1C8D" w:rsidP="007A6D10">
    <w:pPr>
      <w:pStyle w:val="Footer"/>
      <w:jc w:val="center"/>
      <w:rPr>
        <w:b/>
        <w:bCs/>
        <w:color w:val="00B0F0"/>
        <w:sz w:val="20"/>
        <w:szCs w:val="20"/>
      </w:rPr>
    </w:pPr>
    <w:r>
      <w:rPr>
        <w:b/>
        <w:bCs/>
        <w:noProof/>
        <w:color w:val="00B0F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174EF" wp14:editId="4FBFB257">
              <wp:simplePos x="0" y="0"/>
              <wp:positionH relativeFrom="column">
                <wp:posOffset>-60960</wp:posOffset>
              </wp:positionH>
              <wp:positionV relativeFrom="paragraph">
                <wp:posOffset>53340</wp:posOffset>
              </wp:positionV>
              <wp:extent cx="5788660" cy="0"/>
              <wp:effectExtent l="0" t="0" r="1524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0F84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2pt" to="45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" strokecolor="#00b0f0" strokeweight=".5pt">
              <v:stroke joinstyle="miter"/>
            </v:line>
          </w:pict>
        </mc:Fallback>
      </mc:AlternateContent>
    </w:r>
  </w:p>
  <w:p w14:paraId="62F6C007" w14:textId="63612267" w:rsidR="00AA1C8D" w:rsidRPr="007A6D10" w:rsidRDefault="00AA1C8D" w:rsidP="007A6D10">
    <w:pPr>
      <w:pStyle w:val="Footer"/>
      <w:jc w:val="center"/>
      <w:rPr>
        <w:b/>
        <w:bCs/>
        <w:color w:val="00B0F0"/>
        <w:sz w:val="20"/>
        <w:szCs w:val="20"/>
      </w:rPr>
    </w:pPr>
    <w:r w:rsidRPr="007A6D10">
      <w:rPr>
        <w:b/>
        <w:bCs/>
        <w:color w:val="00B0F0"/>
        <w:sz w:val="20"/>
        <w:szCs w:val="20"/>
      </w:rPr>
      <w:t>Trading Online Voucher Application Form</w:t>
    </w:r>
    <w:r>
      <w:rPr>
        <w:b/>
        <w:bCs/>
        <w:color w:val="00B0F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F56A" w14:textId="77777777" w:rsidR="00AA1C8D" w:rsidRDefault="00AA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369C" w14:textId="77777777" w:rsidR="000D7C45" w:rsidRDefault="000D7C45" w:rsidP="00800712">
      <w:r>
        <w:separator/>
      </w:r>
    </w:p>
  </w:footnote>
  <w:footnote w:type="continuationSeparator" w:id="0">
    <w:p w14:paraId="06F985A6" w14:textId="77777777" w:rsidR="000D7C45" w:rsidRDefault="000D7C45" w:rsidP="0080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FDD3" w14:textId="77777777" w:rsidR="00AA1C8D" w:rsidRDefault="00AA1C8D" w:rsidP="00C036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05ECA" w14:textId="77777777" w:rsidR="00AA1C8D" w:rsidRDefault="00AA1C8D" w:rsidP="007146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3E0E" w14:textId="77777777" w:rsidR="00AA1C8D" w:rsidRDefault="00AA1C8D" w:rsidP="00C036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F70219F" w14:textId="77777777" w:rsidR="00AA1C8D" w:rsidRDefault="00AA1C8D" w:rsidP="0071467B">
    <w:pPr>
      <w:pStyle w:val="Header"/>
      <w:ind w:right="360"/>
    </w:pPr>
    <w:r>
      <w:rPr>
        <w:noProof/>
        <w:lang w:val="en-US"/>
      </w:rPr>
      <w:drawing>
        <wp:inline distT="0" distB="0" distL="0" distR="0" wp14:anchorId="251DDBA0" wp14:editId="057F4A9E">
          <wp:extent cx="762000" cy="380324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O_Dual_LS_MIH_Pos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1" cy="38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2C9E" w14:textId="77777777" w:rsidR="00AA1C8D" w:rsidRDefault="00AA1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243"/>
    <w:multiLevelType w:val="hybridMultilevel"/>
    <w:tmpl w:val="6CAC739A"/>
    <w:lvl w:ilvl="0" w:tplc="E91699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75A9"/>
    <w:multiLevelType w:val="hybridMultilevel"/>
    <w:tmpl w:val="4784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06C6"/>
    <w:multiLevelType w:val="hybridMultilevel"/>
    <w:tmpl w:val="F49A5826"/>
    <w:lvl w:ilvl="0" w:tplc="E9169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550"/>
    <w:multiLevelType w:val="hybridMultilevel"/>
    <w:tmpl w:val="F9969A3E"/>
    <w:lvl w:ilvl="0" w:tplc="B74C5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A34"/>
    <w:multiLevelType w:val="hybridMultilevel"/>
    <w:tmpl w:val="F79837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5A64"/>
    <w:multiLevelType w:val="hybridMultilevel"/>
    <w:tmpl w:val="705AB950"/>
    <w:lvl w:ilvl="0" w:tplc="EA5EC2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33A5"/>
    <w:multiLevelType w:val="hybridMultilevel"/>
    <w:tmpl w:val="B56679EC"/>
    <w:lvl w:ilvl="0" w:tplc="DE90B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E85"/>
    <w:multiLevelType w:val="hybridMultilevel"/>
    <w:tmpl w:val="166A45C4"/>
    <w:lvl w:ilvl="0" w:tplc="513A85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17FA"/>
    <w:multiLevelType w:val="hybridMultilevel"/>
    <w:tmpl w:val="02E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2B5F"/>
    <w:multiLevelType w:val="hybridMultilevel"/>
    <w:tmpl w:val="45C629A8"/>
    <w:lvl w:ilvl="0" w:tplc="513A85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B61F0"/>
    <w:multiLevelType w:val="hybridMultilevel"/>
    <w:tmpl w:val="F92A4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F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11D05"/>
    <w:multiLevelType w:val="hybridMultilevel"/>
    <w:tmpl w:val="DA78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3449E"/>
    <w:multiLevelType w:val="hybridMultilevel"/>
    <w:tmpl w:val="49A0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B7201"/>
    <w:multiLevelType w:val="hybridMultilevel"/>
    <w:tmpl w:val="AF64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33700"/>
    <w:multiLevelType w:val="hybridMultilevel"/>
    <w:tmpl w:val="83586F90"/>
    <w:lvl w:ilvl="0" w:tplc="E91699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A04AA"/>
    <w:multiLevelType w:val="hybridMultilevel"/>
    <w:tmpl w:val="44C23C0E"/>
    <w:lvl w:ilvl="0" w:tplc="513A851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D410E"/>
    <w:multiLevelType w:val="hybridMultilevel"/>
    <w:tmpl w:val="129411FE"/>
    <w:lvl w:ilvl="0" w:tplc="E9169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F"/>
    <w:rsid w:val="00016DC8"/>
    <w:rsid w:val="00021C7E"/>
    <w:rsid w:val="0003665D"/>
    <w:rsid w:val="00064B57"/>
    <w:rsid w:val="000C1473"/>
    <w:rsid w:val="000D1C6A"/>
    <w:rsid w:val="000D7C45"/>
    <w:rsid w:val="000F389E"/>
    <w:rsid w:val="001812BD"/>
    <w:rsid w:val="00190486"/>
    <w:rsid w:val="001A3875"/>
    <w:rsid w:val="00213A1B"/>
    <w:rsid w:val="002207AE"/>
    <w:rsid w:val="00220A7C"/>
    <w:rsid w:val="002321B6"/>
    <w:rsid w:val="00263A0A"/>
    <w:rsid w:val="00274AAD"/>
    <w:rsid w:val="00297D6C"/>
    <w:rsid w:val="002C630A"/>
    <w:rsid w:val="003C7F0F"/>
    <w:rsid w:val="0040093D"/>
    <w:rsid w:val="00415E76"/>
    <w:rsid w:val="0044032E"/>
    <w:rsid w:val="00440475"/>
    <w:rsid w:val="00445A71"/>
    <w:rsid w:val="004536A9"/>
    <w:rsid w:val="004E39AB"/>
    <w:rsid w:val="0057666C"/>
    <w:rsid w:val="0059330B"/>
    <w:rsid w:val="005B0CB4"/>
    <w:rsid w:val="005B1DCE"/>
    <w:rsid w:val="005C5328"/>
    <w:rsid w:val="005C6DD3"/>
    <w:rsid w:val="006505B4"/>
    <w:rsid w:val="00652DF3"/>
    <w:rsid w:val="00681609"/>
    <w:rsid w:val="006836A7"/>
    <w:rsid w:val="006B7E37"/>
    <w:rsid w:val="006D7FB0"/>
    <w:rsid w:val="007006B2"/>
    <w:rsid w:val="0070605B"/>
    <w:rsid w:val="0071467B"/>
    <w:rsid w:val="007169A0"/>
    <w:rsid w:val="007271A4"/>
    <w:rsid w:val="00727A77"/>
    <w:rsid w:val="007329DA"/>
    <w:rsid w:val="007723D2"/>
    <w:rsid w:val="007A6D10"/>
    <w:rsid w:val="007B6DDC"/>
    <w:rsid w:val="007D1E44"/>
    <w:rsid w:val="00800712"/>
    <w:rsid w:val="00805C37"/>
    <w:rsid w:val="00840C0A"/>
    <w:rsid w:val="0087174F"/>
    <w:rsid w:val="00873621"/>
    <w:rsid w:val="00883B39"/>
    <w:rsid w:val="008B00DF"/>
    <w:rsid w:val="008D395A"/>
    <w:rsid w:val="008E4C92"/>
    <w:rsid w:val="008E5A63"/>
    <w:rsid w:val="009030A1"/>
    <w:rsid w:val="009065A4"/>
    <w:rsid w:val="00907EE5"/>
    <w:rsid w:val="00922844"/>
    <w:rsid w:val="00927878"/>
    <w:rsid w:val="00951048"/>
    <w:rsid w:val="009D3D26"/>
    <w:rsid w:val="009F7D0D"/>
    <w:rsid w:val="00A70C9C"/>
    <w:rsid w:val="00AA1C8D"/>
    <w:rsid w:val="00AD15D5"/>
    <w:rsid w:val="00AD7653"/>
    <w:rsid w:val="00AD7A61"/>
    <w:rsid w:val="00AE02DF"/>
    <w:rsid w:val="00B47CB6"/>
    <w:rsid w:val="00BA6BA3"/>
    <w:rsid w:val="00BA7F79"/>
    <w:rsid w:val="00BC28B1"/>
    <w:rsid w:val="00BD0666"/>
    <w:rsid w:val="00BF0756"/>
    <w:rsid w:val="00C036D6"/>
    <w:rsid w:val="00C24BFF"/>
    <w:rsid w:val="00C447BA"/>
    <w:rsid w:val="00C503FD"/>
    <w:rsid w:val="00C65721"/>
    <w:rsid w:val="00C71E15"/>
    <w:rsid w:val="00CC608B"/>
    <w:rsid w:val="00CC645F"/>
    <w:rsid w:val="00CD3F91"/>
    <w:rsid w:val="00D646A2"/>
    <w:rsid w:val="00D90834"/>
    <w:rsid w:val="00D91C66"/>
    <w:rsid w:val="00E43E80"/>
    <w:rsid w:val="00E63B45"/>
    <w:rsid w:val="00EB3E38"/>
    <w:rsid w:val="00EB4C90"/>
    <w:rsid w:val="00EC5F53"/>
    <w:rsid w:val="00F007D1"/>
    <w:rsid w:val="00F74128"/>
    <w:rsid w:val="00FA6D47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995FBF"/>
  <w15:docId w15:val="{5A6457F8-9BA0-1E47-8362-6D002356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40C0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0DF"/>
    <w:pPr>
      <w:tabs>
        <w:tab w:val="center" w:pos="-1440"/>
        <w:tab w:val="left" w:pos="283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113" w:line="220" w:lineRule="atLeast"/>
      <w:textAlignment w:val="center"/>
      <w:outlineLvl w:val="0"/>
    </w:pPr>
    <w:rPr>
      <w:rFonts w:cstheme="minorHAnsi"/>
      <w:b/>
      <w:bCs/>
      <w:color w:val="0092D0"/>
      <w:sz w:val="54"/>
      <w:szCs w:val="5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0DF"/>
    <w:pPr>
      <w:tabs>
        <w:tab w:val="center" w:pos="-1440"/>
        <w:tab w:val="left" w:pos="283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113" w:line="220" w:lineRule="atLeast"/>
      <w:textAlignment w:val="center"/>
      <w:outlineLvl w:val="1"/>
    </w:pPr>
    <w:rPr>
      <w:rFonts w:cstheme="minorHAnsi"/>
      <w:b/>
      <w:bCs/>
      <w:color w:val="000000"/>
      <w:sz w:val="38"/>
      <w:szCs w:val="38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4AAD"/>
    <w:pPr>
      <w:outlineLvl w:val="2"/>
    </w:pPr>
    <w:rPr>
      <w:color w:val="00B0F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0DF"/>
    <w:rPr>
      <w:rFonts w:cstheme="minorHAnsi"/>
      <w:b/>
      <w:bCs/>
      <w:color w:val="0092D0"/>
      <w:sz w:val="54"/>
      <w:szCs w:val="5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00DF"/>
    <w:rPr>
      <w:rFonts w:cstheme="minorHAnsi"/>
      <w:b/>
      <w:bCs/>
      <w:color w:val="000000"/>
      <w:sz w:val="38"/>
      <w:szCs w:val="38"/>
      <w:lang w:val="en-GB"/>
    </w:rPr>
  </w:style>
  <w:style w:type="paragraph" w:customStyle="1" w:styleId="GreenRule">
    <w:name w:val="Green Rule"/>
    <w:basedOn w:val="Normal"/>
    <w:uiPriority w:val="99"/>
    <w:rsid w:val="008B00DF"/>
    <w:pPr>
      <w:pBdr>
        <w:top w:val="single" w:sz="96" w:space="0" w:color="0092D0"/>
      </w:pBdr>
      <w:tabs>
        <w:tab w:val="center" w:pos="-1440"/>
        <w:tab w:val="left" w:pos="193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Geogrotesque Bold" w:hAnsi="Geogrotesque Bold" w:cs="Geogrotesque Bold"/>
      <w:b/>
      <w:bCs/>
      <w:color w:val="000000"/>
      <w:sz w:val="18"/>
      <w:szCs w:val="18"/>
      <w:lang w:val="en-GB"/>
    </w:rPr>
  </w:style>
  <w:style w:type="character" w:customStyle="1" w:styleId="BODYgeneralnote">
    <w:name w:val="BODY general note"/>
    <w:uiPriority w:val="99"/>
    <w:rsid w:val="008B00DF"/>
    <w:rPr>
      <w:rFonts w:ascii="Geogrotesque SemiBold Italic" w:hAnsi="Geogrotesque SemiBold Italic" w:cs="Geogrotesque SemiBold Italic"/>
      <w:b/>
      <w:bCs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4AAD"/>
    <w:rPr>
      <w:rFonts w:cstheme="minorHAnsi"/>
      <w:b/>
      <w:bCs/>
      <w:color w:val="00B0F0"/>
      <w:sz w:val="28"/>
      <w:szCs w:val="28"/>
      <w:lang w:val="en-GB"/>
    </w:rPr>
  </w:style>
  <w:style w:type="character" w:styleId="Strong">
    <w:name w:val="Strong"/>
    <w:uiPriority w:val="22"/>
    <w:qFormat/>
    <w:rsid w:val="002207AE"/>
    <w:rPr>
      <w:rFonts w:ascii="Calibri" w:hAnsi="Calibri" w:cstheme="minorHAnsi"/>
      <w:b/>
      <w:bCs/>
      <w:i w:val="0"/>
      <w:color w:val="000000"/>
      <w:sz w:val="18"/>
      <w:szCs w:val="18"/>
      <w:lang w:val="en-GB"/>
    </w:rPr>
  </w:style>
  <w:style w:type="character" w:styleId="Emphasis">
    <w:name w:val="Emphasis"/>
    <w:uiPriority w:val="20"/>
    <w:qFormat/>
    <w:rsid w:val="008B00DF"/>
    <w:rPr>
      <w:rFonts w:cstheme="minorHAnsi"/>
      <w:b/>
      <w:bCs/>
      <w:i/>
      <w:iCs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3A1B"/>
    <w:pPr>
      <w:numPr>
        <w:numId w:val="1"/>
      </w:numPr>
      <w:tabs>
        <w:tab w:val="center" w:pos="-1440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line="220" w:lineRule="atLeast"/>
      <w:ind w:left="360"/>
      <w:contextualSpacing/>
      <w:textAlignment w:val="center"/>
    </w:pPr>
    <w:rPr>
      <w:rFonts w:cstheme="minorHAnsi"/>
      <w:color w:val="000000"/>
      <w:sz w:val="18"/>
      <w:szCs w:val="18"/>
      <w:lang w:val="en-GB"/>
    </w:rPr>
  </w:style>
  <w:style w:type="paragraph" w:customStyle="1" w:styleId="BlueBoxSubheader">
    <w:name w:val="Blue Box Subheader"/>
    <w:basedOn w:val="Normal"/>
    <w:qFormat/>
    <w:rsid w:val="00BA7F79"/>
    <w:pPr>
      <w:pBdr>
        <w:top w:val="single" w:sz="8" w:space="1" w:color="00B0F0"/>
        <w:left w:val="single" w:sz="8" w:space="4" w:color="00B0F0"/>
        <w:bottom w:val="single" w:sz="8" w:space="1" w:color="00B0F0"/>
        <w:right w:val="single" w:sz="8" w:space="4" w:color="00B0F0"/>
      </w:pBdr>
      <w:shd w:val="clear" w:color="auto" w:fill="00B0F0"/>
    </w:pPr>
    <w:rPr>
      <w:b/>
      <w:bCs/>
      <w:color w:val="FFFFFF" w:themeColor="background1"/>
      <w:sz w:val="18"/>
      <w:szCs w:val="18"/>
      <w:bdr w:val="single" w:sz="8" w:space="0" w:color="00B0F0"/>
      <w:shd w:val="clear" w:color="auto" w:fill="00B0F0"/>
    </w:rPr>
  </w:style>
  <w:style w:type="table" w:styleId="TableGrid">
    <w:name w:val="Table Grid"/>
    <w:basedOn w:val="TableNormal"/>
    <w:uiPriority w:val="39"/>
    <w:rsid w:val="006B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1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0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12"/>
    <w:rPr>
      <w:sz w:val="22"/>
    </w:rPr>
  </w:style>
  <w:style w:type="paragraph" w:customStyle="1" w:styleId="BasicParagraph">
    <w:name w:val="[Basic Paragraph]"/>
    <w:basedOn w:val="Normal"/>
    <w:uiPriority w:val="99"/>
    <w:rsid w:val="00297D6C"/>
    <w:pPr>
      <w:autoSpaceDE w:val="0"/>
      <w:autoSpaceDN w:val="0"/>
      <w:adjustRightInd w:val="0"/>
      <w:spacing w:line="288" w:lineRule="auto"/>
      <w:textAlignment w:val="center"/>
    </w:pPr>
    <w:rPr>
      <w:rFonts w:ascii="Geogrotesque Regular" w:hAnsi="Geogrotesque Regular" w:cs="Geogrotesque Regular"/>
      <w:color w:val="000000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297D6C"/>
    <w:rPr>
      <w:i/>
      <w:iCs/>
      <w:color w:val="4472C4" w:themeColor="accent1"/>
    </w:rPr>
  </w:style>
  <w:style w:type="character" w:styleId="SubtleEmphasis">
    <w:name w:val="Subtle Emphasis"/>
    <w:basedOn w:val="Emphasis"/>
    <w:uiPriority w:val="19"/>
    <w:qFormat/>
    <w:rsid w:val="00274AAD"/>
    <w:rPr>
      <w:rFonts w:cstheme="minorHAnsi"/>
      <w:b w:val="0"/>
      <w:bCs/>
      <w:i/>
      <w:iCs/>
      <w:color w:val="00000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1467B"/>
  </w:style>
  <w:style w:type="paragraph" w:customStyle="1" w:styleId="Default">
    <w:name w:val="Default"/>
    <w:basedOn w:val="Normal"/>
    <w:rsid w:val="000C1473"/>
    <w:pPr>
      <w:autoSpaceDE w:val="0"/>
      <w:autoSpaceDN w:val="0"/>
    </w:pPr>
    <w:rPr>
      <w:rFonts w:ascii="Geogrotesque Regular" w:hAnsi="Geogrotesque Regular" w:cs="Calibri"/>
      <w:color w:val="000000"/>
      <w:sz w:val="24"/>
      <w:lang w:eastAsia="en-IE"/>
    </w:rPr>
  </w:style>
  <w:style w:type="paragraph" w:customStyle="1" w:styleId="Pa30">
    <w:name w:val="Pa30"/>
    <w:basedOn w:val="Normal"/>
    <w:uiPriority w:val="99"/>
    <w:rsid w:val="000C1473"/>
    <w:pPr>
      <w:autoSpaceDE w:val="0"/>
      <w:autoSpaceDN w:val="0"/>
      <w:spacing w:line="201" w:lineRule="atLeast"/>
    </w:pPr>
    <w:rPr>
      <w:rFonts w:ascii="Geogrotesque-Medium" w:hAnsi="Geogrotesque-Medium" w:cs="Calibri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7D5AF0B7BF479A11649DF211322A" ma:contentTypeVersion="10" ma:contentTypeDescription="Create a new document." ma:contentTypeScope="" ma:versionID="a24a3aecfc633d9d50d8d53ca9f2fe25">
  <xsd:schema xmlns:xsd="http://www.w3.org/2001/XMLSchema" xmlns:xs="http://www.w3.org/2001/XMLSchema" xmlns:p="http://schemas.microsoft.com/office/2006/metadata/properties" xmlns:ns2="6c7880b3-a029-4025-9c8c-8fa86fabdebf" xmlns:ns3="31597f14-f4a6-4ee1-b14d-4bc81d270fda" targetNamespace="http://schemas.microsoft.com/office/2006/metadata/properties" ma:root="true" ma:fieldsID="1ec44d728bd52cb160280dc0a5767123" ns2:_="" ns3:_="">
    <xsd:import namespace="6c7880b3-a029-4025-9c8c-8fa86fabdebf"/>
    <xsd:import namespace="31597f14-f4a6-4ee1-b14d-4bc81d270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80b3-a029-4025-9c8c-8fa86fabd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7f14-f4a6-4ee1-b14d-4bc81d270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BA191-1C41-E944-AD69-B95868756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8C6BE-29E1-4F71-A818-A8605823E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534D8-FE6D-485F-9784-CED83771E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C73A2-673B-47DC-BD11-5D730042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80b3-a029-4025-9c8c-8fa86fabdebf"/>
    <ds:schemaRef ds:uri="31597f14-f4a6-4ee1-b14d-4bc81d270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PatriciaSmith</cp:lastModifiedBy>
  <cp:revision>2</cp:revision>
  <dcterms:created xsi:type="dcterms:W3CDTF">2021-02-12T14:42:00Z</dcterms:created>
  <dcterms:modified xsi:type="dcterms:W3CDTF">2021-02-12T14:42:00Z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0x01010039177D5AF0B7BF479A11649DF211322A</vt:lpwstr>
  </property>
  <property fmtid="{D5CDD505-2E9C-101B-9397-08002B2CF9AE}" pid="3" name="_AdHocReviewCycleID">
    <vt:i4>38901518</vt:i4>
  </property>
  <property fmtid="{D5CDD505-2E9C-101B-9397-08002B2CF9AE}" pid="4" name="_NewReviewCycle">
    <vt:lpwstr/>
  </property>
  <property fmtid="{D5CDD505-2E9C-101B-9397-08002B2CF9AE}" pid="5" name="_EmailSubject">
    <vt:lpwstr>Updated TOV FAQ</vt:lpwstr>
  </property>
  <property fmtid="{D5CDD505-2E9C-101B-9397-08002B2CF9AE}" pid="6" name="_AuthorEmail">
    <vt:lpwstr>Gerry.OGrady@enterprise-ireland.com</vt:lpwstr>
  </property>
  <property fmtid="{D5CDD505-2E9C-101B-9397-08002B2CF9AE}" pid="7" name="_AuthorEmailDisplayName">
    <vt:lpwstr>O'Grady, Gerry</vt:lpwstr>
  </property>
  <property fmtid="{D5CDD505-2E9C-101B-9397-08002B2CF9AE}" pid="8" name="_ReviewingToolsShownOnce">
    <vt:lpwstr/>
  </property>
</Properties>
</file>